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E4E3E3">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新成立公司登记注册及入驻办理流程</w:t>
      </w:r>
    </w:p>
    <w:p w14:paraId="79E3ABF3">
      <w:pPr>
        <w:jc w:val="center"/>
        <w:rPr>
          <w:rFonts w:hint="default" w:ascii="宋体" w:hAnsi="宋体" w:eastAsia="宋体" w:cs="宋体"/>
          <w:b/>
          <w:bCs/>
          <w:sz w:val="36"/>
          <w:szCs w:val="36"/>
          <w:lang w:val="en-US" w:eastAsia="zh-CN"/>
        </w:rPr>
      </w:pPr>
      <w:bookmarkStart w:id="0" w:name="_GoBack"/>
      <w:bookmarkEnd w:id="0"/>
    </w:p>
    <w:p w14:paraId="638117E5">
      <w:pPr>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一、证明材料办理</w:t>
      </w:r>
    </w:p>
    <w:p w14:paraId="0DFD7A6B">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一</w:t>
      </w:r>
      <w:r>
        <w:rPr>
          <w:rFonts w:hint="eastAsia" w:ascii="宋体" w:hAnsi="宋体" w:eastAsia="宋体" w:cs="宋体"/>
          <w:sz w:val="28"/>
          <w:szCs w:val="28"/>
          <w:lang w:eastAsia="zh-CN"/>
        </w:rPr>
        <w:t>）</w:t>
      </w:r>
      <w:r>
        <w:rPr>
          <w:rFonts w:hint="eastAsia" w:ascii="宋体" w:hAnsi="宋体" w:eastAsia="宋体" w:cs="宋体"/>
          <w:sz w:val="28"/>
          <w:szCs w:val="28"/>
        </w:rPr>
        <w:t>请携带</w:t>
      </w:r>
      <w:r>
        <w:rPr>
          <w:rFonts w:hint="eastAsia" w:ascii="宋体" w:hAnsi="宋体" w:eastAsia="宋体" w:cs="宋体"/>
          <w:sz w:val="28"/>
          <w:szCs w:val="28"/>
          <w:lang w:val="en-US" w:eastAsia="zh-CN"/>
        </w:rPr>
        <w:t>以下纸质材料到</w:t>
      </w:r>
      <w:r>
        <w:rPr>
          <w:rFonts w:hint="eastAsia" w:ascii="宋体" w:hAnsi="宋体" w:eastAsia="宋体" w:cs="宋体"/>
          <w:sz w:val="28"/>
          <w:szCs w:val="28"/>
        </w:rPr>
        <w:t>创新创业</w:t>
      </w:r>
      <w:r>
        <w:rPr>
          <w:rFonts w:hint="eastAsia" w:ascii="宋体" w:hAnsi="宋体" w:eastAsia="宋体" w:cs="宋体"/>
          <w:sz w:val="28"/>
          <w:szCs w:val="28"/>
          <w:lang w:val="en-US" w:eastAsia="zh-CN"/>
        </w:rPr>
        <w:t>学院</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岳麓山校区第</w:t>
      </w:r>
      <w:r>
        <w:rPr>
          <w:rFonts w:hint="eastAsia" w:ascii="宋体" w:hAnsi="宋体" w:eastAsia="宋体" w:cs="宋体"/>
          <w:sz w:val="28"/>
          <w:szCs w:val="28"/>
        </w:rPr>
        <w:t>二办</w:t>
      </w:r>
      <w:r>
        <w:rPr>
          <w:rFonts w:hint="eastAsia" w:ascii="宋体" w:hAnsi="宋体" w:eastAsia="宋体" w:cs="宋体"/>
          <w:sz w:val="28"/>
          <w:szCs w:val="28"/>
          <w:lang w:val="en-US" w:eastAsia="zh-CN"/>
        </w:rPr>
        <w:t>公楼</w:t>
      </w:r>
      <w:r>
        <w:rPr>
          <w:rFonts w:hint="eastAsia" w:ascii="宋体" w:hAnsi="宋体" w:eastAsia="宋体" w:cs="宋体"/>
          <w:sz w:val="28"/>
          <w:szCs w:val="28"/>
        </w:rPr>
        <w:t>321</w:t>
      </w:r>
      <w:r>
        <w:rPr>
          <w:rFonts w:hint="eastAsia" w:ascii="宋体" w:hAnsi="宋体" w:eastAsia="宋体" w:cs="宋体"/>
          <w:sz w:val="28"/>
          <w:szCs w:val="28"/>
          <w:lang w:eastAsia="zh-CN"/>
        </w:rPr>
        <w:t>）</w:t>
      </w:r>
      <w:r>
        <w:rPr>
          <w:rFonts w:hint="eastAsia" w:ascii="宋体" w:hAnsi="宋体" w:eastAsia="宋体" w:cs="宋体"/>
          <w:sz w:val="28"/>
          <w:szCs w:val="28"/>
        </w:rPr>
        <w:t>盖章</w:t>
      </w:r>
      <w:r>
        <w:rPr>
          <w:rFonts w:hint="eastAsia" w:ascii="宋体" w:hAnsi="宋体" w:eastAsia="宋体" w:cs="宋体"/>
          <w:sz w:val="28"/>
          <w:szCs w:val="28"/>
          <w:lang w:eastAsia="zh-CN"/>
        </w:rPr>
        <w:t>：</w:t>
      </w:r>
    </w:p>
    <w:p w14:paraId="352DA4B1">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rPr>
        <w:t>文件1-4</w:t>
      </w:r>
      <w:r>
        <w:rPr>
          <w:rFonts w:hint="eastAsia" w:ascii="宋体" w:hAnsi="宋体" w:eastAsia="宋体" w:cs="宋体"/>
          <w:sz w:val="28"/>
          <w:szCs w:val="28"/>
          <w:lang w:eastAsia="zh-CN"/>
        </w:rPr>
        <w:t>：</w:t>
      </w:r>
      <w:r>
        <w:rPr>
          <w:rFonts w:hint="eastAsia" w:ascii="宋体" w:hAnsi="宋体" w:eastAsia="宋体" w:cs="宋体"/>
          <w:sz w:val="28"/>
          <w:szCs w:val="28"/>
        </w:rPr>
        <w:t>注册介绍信、入驻申请书、入驻协议、工商审批</w:t>
      </w:r>
      <w:r>
        <w:rPr>
          <w:rFonts w:hint="eastAsia" w:ascii="宋体" w:hAnsi="宋体" w:eastAsia="宋体" w:cs="宋体"/>
          <w:sz w:val="28"/>
          <w:szCs w:val="28"/>
          <w:lang w:eastAsia="zh-CN"/>
        </w:rPr>
        <w:t>。</w:t>
      </w:r>
    </w:p>
    <w:p w14:paraId="1230949A">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附件材料清单：</w:t>
      </w:r>
    </w:p>
    <w:p w14:paraId="0614D3C7">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（1）企业法人营业执照副本复印件（</w:t>
      </w:r>
      <w:r>
        <w:rPr>
          <w:rFonts w:hint="eastAsia" w:ascii="宋体" w:hAnsi="宋体" w:eastAsia="宋体" w:cs="宋体"/>
          <w:sz w:val="28"/>
          <w:szCs w:val="28"/>
          <w:lang w:val="en-US" w:eastAsia="zh-CN"/>
        </w:rPr>
        <w:t>注册后提交至</w:t>
      </w:r>
      <w:r>
        <w:rPr>
          <w:rFonts w:hint="eastAsia" w:ascii="宋体" w:hAnsi="宋体" w:eastAsia="宋体" w:cs="宋体"/>
          <w:sz w:val="28"/>
          <w:szCs w:val="28"/>
          <w:lang w:eastAsia="zh-CN"/>
        </w:rPr>
        <w:t>）</w:t>
      </w:r>
    </w:p>
    <w:p w14:paraId="6E8DF82C">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（2）企业（公司）章程（</w:t>
      </w:r>
      <w:r>
        <w:rPr>
          <w:rFonts w:hint="eastAsia" w:ascii="宋体" w:hAnsi="宋体" w:eastAsia="宋体" w:cs="宋体"/>
          <w:sz w:val="28"/>
          <w:szCs w:val="28"/>
          <w:lang w:val="en-US" w:eastAsia="zh-CN"/>
        </w:rPr>
        <w:t>注册后提交</w:t>
      </w:r>
      <w:r>
        <w:rPr>
          <w:rFonts w:hint="eastAsia" w:ascii="宋体" w:hAnsi="宋体" w:eastAsia="宋体" w:cs="宋体"/>
          <w:sz w:val="28"/>
          <w:szCs w:val="28"/>
          <w:lang w:eastAsia="zh-CN"/>
        </w:rPr>
        <w:t>）</w:t>
      </w:r>
    </w:p>
    <w:p w14:paraId="6C7D527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（3）科技成果相关证明材料</w:t>
      </w:r>
    </w:p>
    <w:p w14:paraId="07317E7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（4）企业法人代表（</w:t>
      </w:r>
      <w:r>
        <w:rPr>
          <w:rFonts w:hint="eastAsia" w:ascii="宋体" w:hAnsi="宋体" w:eastAsia="宋体" w:cs="宋体"/>
          <w:sz w:val="28"/>
          <w:szCs w:val="28"/>
          <w:lang w:val="en-US" w:eastAsia="zh-CN"/>
        </w:rPr>
        <w:t>注册后提交</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或</w:t>
      </w:r>
      <w:r>
        <w:rPr>
          <w:rFonts w:hint="eastAsia" w:ascii="宋体" w:hAnsi="宋体" w:eastAsia="宋体" w:cs="宋体"/>
          <w:sz w:val="28"/>
          <w:szCs w:val="28"/>
          <w:lang w:eastAsia="zh-CN"/>
        </w:rPr>
        <w:t>团队负责人身份证复印件</w:t>
      </w:r>
    </w:p>
    <w:p w14:paraId="0F138B9A">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（5）项目可行性研究报告</w:t>
      </w:r>
    </w:p>
    <w:p w14:paraId="471AC4B5">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（6）项目商业计划书</w:t>
      </w:r>
    </w:p>
    <w:p w14:paraId="3693A41F">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为避免跑空，可先发填写好的电子材料</w:t>
      </w:r>
      <w:r>
        <w:rPr>
          <w:rFonts w:hint="eastAsia" w:ascii="宋体" w:hAnsi="宋体" w:eastAsia="宋体" w:cs="宋体"/>
          <w:sz w:val="28"/>
          <w:szCs w:val="28"/>
          <w:lang w:val="en-US" w:eastAsia="zh-CN"/>
        </w:rPr>
        <w:t>并</w:t>
      </w:r>
      <w:r>
        <w:rPr>
          <w:rFonts w:hint="eastAsia" w:ascii="宋体" w:hAnsi="宋体" w:eastAsia="宋体" w:cs="宋体"/>
          <w:sz w:val="28"/>
          <w:szCs w:val="28"/>
        </w:rPr>
        <w:t>确认</w:t>
      </w:r>
      <w:r>
        <w:rPr>
          <w:rFonts w:hint="eastAsia" w:ascii="宋体" w:hAnsi="宋体" w:eastAsia="宋体" w:cs="宋体"/>
          <w:sz w:val="28"/>
          <w:szCs w:val="28"/>
          <w:lang w:val="en-US" w:eastAsia="zh-CN"/>
        </w:rPr>
        <w:t>办理</w:t>
      </w:r>
      <w:r>
        <w:rPr>
          <w:rFonts w:hint="eastAsia" w:ascii="宋体" w:hAnsi="宋体" w:eastAsia="宋体" w:cs="宋体"/>
          <w:sz w:val="28"/>
          <w:szCs w:val="28"/>
        </w:rPr>
        <w:t>时间</w:t>
      </w:r>
      <w:r>
        <w:rPr>
          <w:rFonts w:hint="eastAsia" w:ascii="宋体" w:hAnsi="宋体" w:eastAsia="宋体" w:cs="宋体"/>
          <w:sz w:val="28"/>
          <w:szCs w:val="28"/>
          <w:lang w:eastAsia="zh-CN"/>
        </w:rPr>
        <w:t>。</w:t>
      </w:r>
    </w:p>
    <w:p w14:paraId="0F7CC6C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瞿老师QQ:635618486</w:t>
      </w:r>
      <w:r>
        <w:rPr>
          <w:rFonts w:hint="eastAsia" w:ascii="宋体" w:hAnsi="宋体" w:eastAsia="宋体" w:cs="宋体"/>
          <w:sz w:val="28"/>
          <w:szCs w:val="28"/>
          <w:lang w:val="en-US" w:eastAsia="zh-CN"/>
        </w:rPr>
        <w:t xml:space="preserve"> 联系电话：88877060</w:t>
      </w:r>
    </w:p>
    <w:p w14:paraId="13A5FFDB">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（二）携带工商审批等材料到中南大学科技园（研发）总部1号楼产业发展部办理场地证明等。产业发展部电话</w:t>
      </w:r>
      <w:r>
        <w:rPr>
          <w:rFonts w:hint="eastAsia" w:ascii="宋体" w:hAnsi="宋体" w:eastAsia="宋体" w:cs="宋体"/>
          <w:sz w:val="28"/>
          <w:szCs w:val="28"/>
          <w:lang w:eastAsia="zh-CN"/>
        </w:rPr>
        <w:t>0731-85712902。</w:t>
      </w:r>
    </w:p>
    <w:p w14:paraId="25BC63B0">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企业注册登记办理</w:t>
      </w:r>
    </w:p>
    <w:p w14:paraId="15876D84">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在网上办理公司名称审核和企业登记，详见附件：企业注册登记流程。公司注册完成后请尽快反馈。</w:t>
      </w:r>
    </w:p>
    <w:p w14:paraId="51074F5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2" w:firstLineChars="200"/>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三、中南大学创业项目库入库申请</w:t>
      </w:r>
    </w:p>
    <w:p w14:paraId="5D65F766">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textAlignment w:val="auto"/>
        <w:rPr>
          <w:rFonts w:hint="default" w:ascii="宋体" w:hAnsi="宋体" w:eastAsia="宋体" w:cs="宋体"/>
          <w:b/>
          <w:bCs/>
          <w:color w:val="FF0000"/>
          <w:sz w:val="28"/>
          <w:szCs w:val="28"/>
          <w:lang w:val="en-US" w:eastAsia="zh-CN"/>
        </w:rPr>
      </w:pPr>
      <w:r>
        <w:rPr>
          <w:rFonts w:hint="eastAsia"/>
          <w:sz w:val="28"/>
          <w:szCs w:val="36"/>
          <w:lang w:val="en-US" w:eastAsia="zh-CN"/>
        </w:rPr>
        <w:t>在</w:t>
      </w:r>
      <w:r>
        <w:rPr>
          <w:rFonts w:hint="default"/>
          <w:sz w:val="28"/>
          <w:szCs w:val="36"/>
          <w:lang w:val="en-US" w:eastAsia="zh-CN"/>
        </w:rPr>
        <w:t>中南大学大学生就业创业大平台</w:t>
      </w:r>
      <w:r>
        <w:rPr>
          <w:rFonts w:hint="eastAsia"/>
          <w:sz w:val="28"/>
          <w:szCs w:val="36"/>
          <w:lang w:val="en-US" w:eastAsia="zh-CN"/>
        </w:rPr>
        <w:t>（</w:t>
      </w:r>
      <w:r>
        <w:rPr>
          <w:rFonts w:hint="default"/>
          <w:sz w:val="28"/>
          <w:szCs w:val="36"/>
          <w:lang w:val="en-US" w:eastAsia="zh-CN"/>
        </w:rPr>
        <w:t>https://cxcygl.csu.edu.cn/</w:t>
      </w:r>
      <w:r>
        <w:rPr>
          <w:rFonts w:hint="eastAsia"/>
          <w:sz w:val="28"/>
          <w:szCs w:val="36"/>
          <w:lang w:val="en-US" w:eastAsia="zh-CN"/>
        </w:rPr>
        <w:t>）进行网上填报，登录账号密码与学校信息门户一致，账号为学号，毕业生可在登录页面注册账号。</w:t>
      </w:r>
      <w:r>
        <w:rPr>
          <w:rFonts w:hint="eastAsia"/>
          <w:color w:val="FF0000"/>
          <w:sz w:val="28"/>
          <w:szCs w:val="36"/>
          <w:lang w:val="en-US" w:eastAsia="zh-CN"/>
        </w:rPr>
        <w:t>请务必上传营业执照。</w:t>
      </w:r>
    </w:p>
    <w:p w14:paraId="22A6193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2" w:firstLineChars="200"/>
        <w:textAlignment w:val="auto"/>
        <w:rPr>
          <w:rFonts w:hint="eastAsia" w:ascii="宋体" w:hAnsi="宋体" w:eastAsia="宋体" w:cs="宋体"/>
          <w:b/>
          <w:bCs/>
          <w:sz w:val="28"/>
          <w:szCs w:val="28"/>
          <w:lang w:val="en-US" w:eastAsia="zh-CN"/>
        </w:rPr>
      </w:pPr>
    </w:p>
    <w:p w14:paraId="1DC8E03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723" w:firstLineChars="200"/>
        <w:textAlignment w:val="auto"/>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t>附件：企业注册登记流程</w:t>
      </w:r>
    </w:p>
    <w:p w14:paraId="6F32A39E">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p>
    <w:p w14:paraId="199CFED1">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办理前请</w:t>
      </w:r>
      <w:r>
        <w:rPr>
          <w:rFonts w:hint="eastAsia" w:ascii="宋体" w:hAnsi="宋体" w:eastAsia="宋体" w:cs="宋体"/>
          <w:sz w:val="28"/>
          <w:szCs w:val="28"/>
        </w:rPr>
        <w:t>学习《公司法》</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理解</w:t>
      </w:r>
      <w:r>
        <w:rPr>
          <w:rFonts w:hint="eastAsia" w:ascii="宋体" w:hAnsi="宋体" w:eastAsia="宋体" w:cs="宋体"/>
          <w:sz w:val="28"/>
          <w:szCs w:val="28"/>
        </w:rPr>
        <w:t>公司、董事、监事、经理等相关基本概念</w:t>
      </w:r>
      <w:r>
        <w:rPr>
          <w:rFonts w:hint="eastAsia" w:ascii="宋体" w:hAnsi="宋体" w:eastAsia="宋体" w:cs="宋体"/>
          <w:sz w:val="28"/>
          <w:szCs w:val="28"/>
          <w:lang w:eastAsia="zh-CN"/>
        </w:rPr>
        <w:t>。</w:t>
      </w:r>
    </w:p>
    <w:p w14:paraId="3AC2BDFD">
      <w:pPr>
        <w:keepNext w:val="0"/>
        <w:keepLines w:val="0"/>
        <w:pageBreakBefore w:val="0"/>
        <w:widowControl w:val="0"/>
        <w:numPr>
          <w:ilvl w:val="0"/>
          <w:numId w:val="2"/>
        </w:numPr>
        <w:kinsoku/>
        <w:wordWrap/>
        <w:overflowPunct/>
        <w:topLinePunct w:val="0"/>
        <w:autoSpaceDE/>
        <w:autoSpaceDN/>
        <w:bidi w:val="0"/>
        <w:adjustRightInd/>
        <w:snapToGrid/>
        <w:spacing w:line="540" w:lineRule="exact"/>
        <w:ind w:left="0" w:leftChars="0"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公司名称审核</w:t>
      </w:r>
    </w:p>
    <w:p w14:paraId="0CAE16B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（1）注册：</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"http://222.240.225.73:9080/qykb" </w:instrText>
      </w:r>
      <w:r>
        <w:rPr>
          <w:rFonts w:hint="eastAsia" w:ascii="宋体" w:hAnsi="宋体" w:eastAsia="宋体" w:cs="宋体"/>
          <w:sz w:val="28"/>
          <w:szCs w:val="28"/>
        </w:rPr>
        <w:fldChar w:fldCharType="separate"/>
      </w:r>
      <w:r>
        <w:rPr>
          <w:rStyle w:val="5"/>
          <w:rFonts w:hint="eastAsia" w:ascii="宋体" w:hAnsi="宋体" w:eastAsia="宋体" w:cs="宋体"/>
          <w:sz w:val="28"/>
          <w:szCs w:val="28"/>
        </w:rPr>
        <w:t>http://222.240.225.73:9080/qykb</w:t>
      </w:r>
      <w:r>
        <w:rPr>
          <w:rStyle w:val="5"/>
          <w:rFonts w:hint="eastAsia" w:ascii="宋体" w:hAnsi="宋体" w:eastAsia="宋体" w:cs="宋体"/>
          <w:sz w:val="28"/>
          <w:szCs w:val="28"/>
        </w:rPr>
        <w:fldChar w:fldCharType="end"/>
      </w:r>
    </w:p>
    <w:p w14:paraId="6A590548">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在“其他服务”里面找到“自主核名申报系统”</w:t>
      </w:r>
    </w:p>
    <w:p w14:paraId="196B6089">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59264" behindDoc="0" locked="0" layoutInCell="1" allowOverlap="1">
            <wp:simplePos x="0" y="0"/>
            <wp:positionH relativeFrom="column">
              <wp:posOffset>-200660</wp:posOffset>
            </wp:positionH>
            <wp:positionV relativeFrom="paragraph">
              <wp:posOffset>114935</wp:posOffset>
            </wp:positionV>
            <wp:extent cx="635" cy="635"/>
            <wp:effectExtent l="0" t="0" r="0" b="0"/>
            <wp:wrapNone/>
            <wp:docPr id="2" name="墨迹 2"/>
            <wp:cNvGraphicFramePr/>
            <a:graphic xmlns:a="http://schemas.openxmlformats.org/drawingml/2006/main">
              <a:graphicData uri="http://schemas.openxmlformats.org/drawingml/2006/picture">
                <pic:pic xmlns:pic="http://schemas.openxmlformats.org/drawingml/2006/picture">
                  <pic:nvPicPr>
                    <pic:cNvPr id="2" name="墨迹 2"/>
                    <pic:cNvPicPr/>
                  </pic:nvPicPr>
                  <pic:blipFill>
                    <a:blip r:embed="rId4"/>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t>（2）审核名称：</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"http://222.240.225.75:7777/netself/" </w:instrText>
      </w:r>
      <w:r>
        <w:rPr>
          <w:rFonts w:hint="eastAsia" w:ascii="宋体" w:hAnsi="宋体" w:eastAsia="宋体" w:cs="宋体"/>
          <w:sz w:val="28"/>
          <w:szCs w:val="28"/>
        </w:rPr>
        <w:fldChar w:fldCharType="separate"/>
      </w:r>
      <w:r>
        <w:rPr>
          <w:rStyle w:val="5"/>
          <w:rFonts w:hint="eastAsia" w:ascii="宋体" w:hAnsi="宋体" w:eastAsia="宋体" w:cs="宋体"/>
          <w:sz w:val="28"/>
          <w:szCs w:val="28"/>
        </w:rPr>
        <w:t>http://222.240.225.75:7777/netself/</w:t>
      </w:r>
      <w:r>
        <w:rPr>
          <w:rStyle w:val="5"/>
          <w:rFonts w:hint="eastAsia" w:ascii="宋体" w:hAnsi="宋体" w:eastAsia="宋体" w:cs="宋体"/>
          <w:sz w:val="28"/>
          <w:szCs w:val="28"/>
        </w:rPr>
        <w:fldChar w:fldCharType="end"/>
      </w:r>
    </w:p>
    <w:p w14:paraId="1046DDC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若公司名称不通过，会提示已经有人注册</w:t>
      </w:r>
      <w:r>
        <w:rPr>
          <w:rFonts w:hint="eastAsia" w:ascii="宋体" w:hAnsi="宋体" w:eastAsia="宋体" w:cs="宋体"/>
          <w:sz w:val="28"/>
          <w:szCs w:val="28"/>
        </w:rPr>
        <w:drawing>
          <wp:anchor distT="0" distB="0" distL="114300" distR="114300" simplePos="0" relativeHeight="251669504" behindDoc="0" locked="0" layoutInCell="1" allowOverlap="1">
            <wp:simplePos x="0" y="0"/>
            <wp:positionH relativeFrom="column">
              <wp:posOffset>4117340</wp:posOffset>
            </wp:positionH>
            <wp:positionV relativeFrom="paragraph">
              <wp:posOffset>3877945</wp:posOffset>
            </wp:positionV>
            <wp:extent cx="635" cy="635"/>
            <wp:effectExtent l="0" t="0" r="0" b="0"/>
            <wp:wrapNone/>
            <wp:docPr id="12" name="墨迹 12"/>
            <wp:cNvGraphicFramePr/>
            <a:graphic xmlns:a="http://schemas.openxmlformats.org/drawingml/2006/main">
              <a:graphicData uri="http://schemas.openxmlformats.org/drawingml/2006/picture">
                <pic:pic xmlns:pic="http://schemas.openxmlformats.org/drawingml/2006/picture">
                  <pic:nvPicPr>
                    <pic:cNvPr id="12" name="墨迹 12"/>
                    <pic:cNvPicPr/>
                  </pic:nvPicPr>
                  <pic:blipFill>
                    <a:blip r:embed="rId5"/>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8480" behindDoc="0" locked="0" layoutInCell="1" allowOverlap="1">
            <wp:simplePos x="0" y="0"/>
            <wp:positionH relativeFrom="column">
              <wp:posOffset>4141470</wp:posOffset>
            </wp:positionH>
            <wp:positionV relativeFrom="paragraph">
              <wp:posOffset>3753485</wp:posOffset>
            </wp:positionV>
            <wp:extent cx="635" cy="635"/>
            <wp:effectExtent l="0" t="0" r="0" b="0"/>
            <wp:wrapNone/>
            <wp:docPr id="11" name="墨迹 11"/>
            <wp:cNvGraphicFramePr/>
            <a:graphic xmlns:a="http://schemas.openxmlformats.org/drawingml/2006/main">
              <a:graphicData uri="http://schemas.openxmlformats.org/drawingml/2006/picture">
                <pic:pic xmlns:pic="http://schemas.openxmlformats.org/drawingml/2006/picture">
                  <pic:nvPicPr>
                    <pic:cNvPr id="11" name="墨迹 11"/>
                    <pic:cNvPicPr/>
                  </pic:nvPicPr>
                  <pic:blipFill>
                    <a:blip r:embed="rId4"/>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7456" behindDoc="0" locked="0" layoutInCell="1" allowOverlap="1">
            <wp:simplePos x="0" y="0"/>
            <wp:positionH relativeFrom="column">
              <wp:posOffset>1946275</wp:posOffset>
            </wp:positionH>
            <wp:positionV relativeFrom="paragraph">
              <wp:posOffset>1586230</wp:posOffset>
            </wp:positionV>
            <wp:extent cx="629920" cy="93345"/>
            <wp:effectExtent l="0" t="0" r="0" b="0"/>
            <wp:wrapNone/>
            <wp:docPr id="10" name="墨迹 10"/>
            <wp:cNvGraphicFramePr/>
            <a:graphic xmlns:a="http://schemas.openxmlformats.org/drawingml/2006/main">
              <a:graphicData uri="http://schemas.openxmlformats.org/drawingml/2006/picture">
                <pic:pic xmlns:pic="http://schemas.openxmlformats.org/drawingml/2006/picture">
                  <pic:nvPicPr>
                    <pic:cNvPr id="10" name="墨迹 10"/>
                    <pic:cNvPicPr/>
                  </pic:nvPicPr>
                  <pic:blipFill>
                    <a:blip r:embed="rId6"/>
                    <a:stretch>
                      <a:fillRect/>
                    </a:stretch>
                  </pic:blipFill>
                  <pic:spPr>
                    <a:xfrm>
                      <a:off x="0" y="0"/>
                      <a:ext cx="665640" cy="30924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6432" behindDoc="0" locked="0" layoutInCell="1" allowOverlap="1">
            <wp:simplePos x="0" y="0"/>
            <wp:positionH relativeFrom="column">
              <wp:posOffset>1720215</wp:posOffset>
            </wp:positionH>
            <wp:positionV relativeFrom="paragraph">
              <wp:posOffset>1521460</wp:posOffset>
            </wp:positionV>
            <wp:extent cx="1905" cy="635"/>
            <wp:effectExtent l="0" t="0" r="0" b="0"/>
            <wp:wrapNone/>
            <wp:docPr id="9" name="墨迹 9"/>
            <wp:cNvGraphicFramePr/>
            <a:graphic xmlns:a="http://schemas.openxmlformats.org/drawingml/2006/main">
              <a:graphicData uri="http://schemas.openxmlformats.org/drawingml/2006/picture">
                <pic:pic xmlns:pic="http://schemas.openxmlformats.org/drawingml/2006/picture">
                  <pic:nvPicPr>
                    <pic:cNvPr id="9" name="墨迹 9"/>
                    <pic:cNvPicPr/>
                  </pic:nvPicPr>
                  <pic:blipFill>
                    <a:blip r:embed="rId4"/>
                    <a:stretch>
                      <a:fillRect/>
                    </a:stretch>
                  </pic:blipFill>
                  <pic:spPr>
                    <a:xfrm>
                      <a:off x="0" y="0"/>
                      <a:ext cx="378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5408" behindDoc="0" locked="0" layoutInCell="1" allowOverlap="1">
            <wp:simplePos x="0" y="0"/>
            <wp:positionH relativeFrom="column">
              <wp:posOffset>1011555</wp:posOffset>
            </wp:positionH>
            <wp:positionV relativeFrom="paragraph">
              <wp:posOffset>1465580</wp:posOffset>
            </wp:positionV>
            <wp:extent cx="635" cy="635"/>
            <wp:effectExtent l="0" t="0" r="0" b="0"/>
            <wp:wrapNone/>
            <wp:docPr id="8" name="墨迹 8"/>
            <wp:cNvGraphicFramePr/>
            <a:graphic xmlns:a="http://schemas.openxmlformats.org/drawingml/2006/main">
              <a:graphicData uri="http://schemas.openxmlformats.org/drawingml/2006/picture">
                <pic:pic xmlns:pic="http://schemas.openxmlformats.org/drawingml/2006/picture">
                  <pic:nvPicPr>
                    <pic:cNvPr id="8" name="墨迹 8"/>
                    <pic:cNvPicPr/>
                  </pic:nvPicPr>
                  <pic:blipFill>
                    <a:blip r:embed="rId7"/>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4384" behindDoc="0" locked="0" layoutInCell="1" allowOverlap="1">
            <wp:simplePos x="0" y="0"/>
            <wp:positionH relativeFrom="column">
              <wp:posOffset>4592320</wp:posOffset>
            </wp:positionH>
            <wp:positionV relativeFrom="paragraph">
              <wp:posOffset>2110105</wp:posOffset>
            </wp:positionV>
            <wp:extent cx="635" cy="19050"/>
            <wp:effectExtent l="0" t="0" r="0" b="0"/>
            <wp:wrapNone/>
            <wp:docPr id="7" name="墨迹 7"/>
            <wp:cNvGraphicFramePr/>
            <a:graphic xmlns:a="http://schemas.openxmlformats.org/drawingml/2006/main">
              <a:graphicData uri="http://schemas.openxmlformats.org/drawingml/2006/picture">
                <pic:pic xmlns:pic="http://schemas.openxmlformats.org/drawingml/2006/picture">
                  <pic:nvPicPr>
                    <pic:cNvPr id="7" name="墨迹 7"/>
                    <pic:cNvPicPr/>
                  </pic:nvPicPr>
                  <pic:blipFill>
                    <a:blip r:embed="rId8"/>
                    <a:stretch>
                      <a:fillRect/>
                    </a:stretch>
                  </pic:blipFill>
                  <pic:spPr>
                    <a:xfrm>
                      <a:off x="0" y="0"/>
                      <a:ext cx="36000" cy="23472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3360" behindDoc="0" locked="0" layoutInCell="1" allowOverlap="1">
            <wp:simplePos x="0" y="0"/>
            <wp:positionH relativeFrom="column">
              <wp:posOffset>2542540</wp:posOffset>
            </wp:positionH>
            <wp:positionV relativeFrom="paragraph">
              <wp:posOffset>772160</wp:posOffset>
            </wp:positionV>
            <wp:extent cx="635" cy="635"/>
            <wp:effectExtent l="0" t="0" r="0" b="0"/>
            <wp:wrapNone/>
            <wp:docPr id="6" name="墨迹 6"/>
            <wp:cNvGraphicFramePr/>
            <a:graphic xmlns:a="http://schemas.openxmlformats.org/drawingml/2006/main">
              <a:graphicData uri="http://schemas.openxmlformats.org/drawingml/2006/picture">
                <pic:pic xmlns:pic="http://schemas.openxmlformats.org/drawingml/2006/picture">
                  <pic:nvPicPr>
                    <pic:cNvPr id="6" name="墨迹 6"/>
                    <pic:cNvPicPr/>
                  </pic:nvPicPr>
                  <pic:blipFill>
                    <a:blip r:embed="rId5"/>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2336" behindDoc="0" locked="0" layoutInCell="1" allowOverlap="1">
            <wp:simplePos x="0" y="0"/>
            <wp:positionH relativeFrom="column">
              <wp:posOffset>1176655</wp:posOffset>
            </wp:positionH>
            <wp:positionV relativeFrom="paragraph">
              <wp:posOffset>772160</wp:posOffset>
            </wp:positionV>
            <wp:extent cx="635" cy="635"/>
            <wp:effectExtent l="0" t="0" r="0" b="0"/>
            <wp:wrapNone/>
            <wp:docPr id="5" name="墨迹 5"/>
            <wp:cNvGraphicFramePr/>
            <a:graphic xmlns:a="http://schemas.openxmlformats.org/drawingml/2006/main">
              <a:graphicData uri="http://schemas.openxmlformats.org/drawingml/2006/picture">
                <pic:pic xmlns:pic="http://schemas.openxmlformats.org/drawingml/2006/picture">
                  <pic:nvPicPr>
                    <pic:cNvPr id="5" name="墨迹 5"/>
                    <pic:cNvPicPr/>
                  </pic:nvPicPr>
                  <pic:blipFill>
                    <a:blip r:embed="rId5"/>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1312" behindDoc="0" locked="0" layoutInCell="1" allowOverlap="1">
            <wp:simplePos x="0" y="0"/>
            <wp:positionH relativeFrom="column">
              <wp:posOffset>1692275</wp:posOffset>
            </wp:positionH>
            <wp:positionV relativeFrom="paragraph">
              <wp:posOffset>1022350</wp:posOffset>
            </wp:positionV>
            <wp:extent cx="635" cy="635"/>
            <wp:effectExtent l="0" t="0" r="0" b="0"/>
            <wp:wrapNone/>
            <wp:docPr id="4" name="墨迹 4"/>
            <wp:cNvGraphicFramePr/>
            <a:graphic xmlns:a="http://schemas.openxmlformats.org/drawingml/2006/main">
              <a:graphicData uri="http://schemas.openxmlformats.org/drawingml/2006/picture">
                <pic:pic xmlns:pic="http://schemas.openxmlformats.org/drawingml/2006/picture">
                  <pic:nvPicPr>
                    <pic:cNvPr id="4" name="墨迹 4"/>
                    <pic:cNvPicPr/>
                  </pic:nvPicPr>
                  <pic:blipFill>
                    <a:blip r:embed="rId4"/>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0288" behindDoc="0" locked="0" layoutInCell="1" allowOverlap="1">
            <wp:simplePos x="0" y="0"/>
            <wp:positionH relativeFrom="column">
              <wp:posOffset>1805305</wp:posOffset>
            </wp:positionH>
            <wp:positionV relativeFrom="paragraph">
              <wp:posOffset>1618615</wp:posOffset>
            </wp:positionV>
            <wp:extent cx="635" cy="635"/>
            <wp:effectExtent l="0" t="0" r="0" b="0"/>
            <wp:wrapNone/>
            <wp:docPr id="3" name="墨迹 3"/>
            <wp:cNvGraphicFramePr/>
            <a:graphic xmlns:a="http://schemas.openxmlformats.org/drawingml/2006/main">
              <a:graphicData uri="http://schemas.openxmlformats.org/drawingml/2006/picture">
                <pic:pic xmlns:pic="http://schemas.openxmlformats.org/drawingml/2006/picture">
                  <pic:nvPicPr>
                    <pic:cNvPr id="3" name="墨迹 3"/>
                    <pic:cNvPicPr/>
                  </pic:nvPicPr>
                  <pic:blipFill>
                    <a:blip r:embed="rId5"/>
                    <a:stretch>
                      <a:fillRect/>
                    </a:stretch>
                  </pic:blipFill>
                  <pic:spPr>
                    <a:xfrm>
                      <a:off x="0" y="0"/>
                      <a:ext cx="36000" cy="216000"/>
                    </a:xfrm>
                    <a:prstGeom prst="rect">
                      <a:avLst/>
                    </a:prstGeom>
                  </pic:spPr>
                </pic:pic>
              </a:graphicData>
            </a:graphic>
          </wp:anchor>
        </w:drawing>
      </w:r>
      <w:r>
        <w:rPr>
          <w:rFonts w:hint="eastAsia" w:ascii="宋体" w:hAnsi="宋体" w:eastAsia="宋体" w:cs="宋体"/>
          <w:sz w:val="28"/>
          <w:szCs w:val="28"/>
          <w:lang w:eastAsia="zh-CN"/>
        </w:rPr>
        <w:t>。</w:t>
      </w:r>
    </w:p>
    <w:p w14:paraId="28663C4E">
      <w:pPr>
        <w:keepNext w:val="0"/>
        <w:keepLines w:val="0"/>
        <w:pageBreakBefore w:val="0"/>
        <w:widowControl w:val="0"/>
        <w:numPr>
          <w:ilvl w:val="0"/>
          <w:numId w:val="2"/>
        </w:numPr>
        <w:kinsoku/>
        <w:wordWrap/>
        <w:overflowPunct/>
        <w:topLinePunct w:val="0"/>
        <w:autoSpaceDE/>
        <w:autoSpaceDN/>
        <w:bidi w:val="0"/>
        <w:adjustRightInd/>
        <w:snapToGrid/>
        <w:spacing w:line="540" w:lineRule="exact"/>
        <w:ind w:left="0" w:leftChars="0" w:firstLine="560" w:firstLineChars="200"/>
        <w:textAlignment w:val="auto"/>
        <w:rPr>
          <w:rFonts w:hint="eastAsia" w:ascii="宋体" w:hAnsi="宋体" w:eastAsia="宋体" w:cs="宋体"/>
          <w:b/>
          <w:bCs/>
          <w:sz w:val="28"/>
          <w:szCs w:val="28"/>
        </w:rPr>
      </w:pPr>
      <w:r>
        <w:rPr>
          <w:rFonts w:hint="eastAsia" w:ascii="宋体" w:hAnsi="宋体" w:eastAsia="宋体" w:cs="宋体"/>
          <w:sz w:val="28"/>
          <w:szCs w:val="28"/>
        </w:rPr>
        <w:drawing>
          <wp:anchor distT="0" distB="0" distL="0" distR="0" simplePos="0" relativeHeight="251670528" behindDoc="0" locked="0" layoutInCell="1" allowOverlap="1">
            <wp:simplePos x="0" y="0"/>
            <wp:positionH relativeFrom="column">
              <wp:posOffset>498475</wp:posOffset>
            </wp:positionH>
            <wp:positionV relativeFrom="page">
              <wp:posOffset>4154170</wp:posOffset>
            </wp:positionV>
            <wp:extent cx="4425950" cy="3966845"/>
            <wp:effectExtent l="0" t="0" r="12700" b="1460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25950" cy="3966845"/>
                    </a:xfrm>
                    <a:prstGeom prst="rect">
                      <a:avLst/>
                    </a:prstGeom>
                    <a:noFill/>
                    <a:ln>
                      <a:noFill/>
                    </a:ln>
                  </pic:spPr>
                </pic:pic>
              </a:graphicData>
            </a:graphic>
          </wp:anchor>
        </w:drawing>
      </w:r>
      <w:r>
        <w:rPr>
          <w:rFonts w:hint="eastAsia" w:ascii="宋体" w:hAnsi="宋体" w:eastAsia="宋体" w:cs="宋体"/>
          <w:b/>
          <w:bCs/>
          <w:sz w:val="28"/>
          <w:szCs w:val="28"/>
          <w:lang w:val="en-US" w:eastAsia="zh-CN"/>
        </w:rPr>
        <w:t>企业登记（建议网上办理）</w:t>
      </w:r>
    </w:p>
    <w:p w14:paraId="350B2BD1">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线下</w:t>
      </w:r>
      <w:r>
        <w:rPr>
          <w:rFonts w:hint="eastAsia" w:ascii="宋体" w:hAnsi="宋体" w:eastAsia="宋体" w:cs="宋体"/>
          <w:b/>
          <w:bCs/>
          <w:sz w:val="28"/>
          <w:szCs w:val="28"/>
          <w:lang w:val="en-US" w:eastAsia="zh-CN"/>
        </w:rPr>
        <w:t>办理</w:t>
      </w:r>
      <w:r>
        <w:rPr>
          <w:rFonts w:hint="eastAsia" w:ascii="宋体" w:hAnsi="宋体" w:eastAsia="宋体" w:cs="宋体"/>
          <w:b/>
          <w:bCs/>
          <w:sz w:val="28"/>
          <w:szCs w:val="28"/>
        </w:rPr>
        <w:t>：带纸质材料到</w:t>
      </w:r>
      <w:r>
        <w:rPr>
          <w:rFonts w:hint="eastAsia" w:ascii="宋体" w:hAnsi="宋体" w:eastAsia="宋体" w:cs="宋体"/>
          <w:b/>
          <w:bCs/>
          <w:color w:val="auto"/>
          <w:sz w:val="28"/>
          <w:szCs w:val="28"/>
        </w:rPr>
        <w:t>“岳麓区政务服务中心”大厅</w:t>
      </w:r>
      <w:r>
        <w:rPr>
          <w:rFonts w:hint="eastAsia" w:ascii="宋体" w:hAnsi="宋体" w:eastAsia="宋体" w:cs="宋体"/>
          <w:b/>
          <w:bCs/>
          <w:sz w:val="28"/>
          <w:szCs w:val="28"/>
        </w:rPr>
        <w:t>现场办理</w:t>
      </w:r>
    </w:p>
    <w:p w14:paraId="2DCF9A04">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2" w:firstLineChars="200"/>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网上办理：</w:t>
      </w:r>
      <w:r>
        <w:rPr>
          <w:rFonts w:hint="eastAsia" w:ascii="宋体" w:hAnsi="宋体" w:eastAsia="宋体" w:cs="宋体"/>
          <w:b/>
          <w:bCs/>
          <w:sz w:val="28"/>
          <w:szCs w:val="28"/>
        </w:rPr>
        <w:t>湖南省企业开办‘一网通’办平台</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见附件：湖南省企业开办-一网通办设立流程</w:t>
      </w:r>
      <w:r>
        <w:rPr>
          <w:rFonts w:hint="eastAsia" w:ascii="宋体" w:hAnsi="宋体" w:eastAsia="宋体" w:cs="宋体"/>
          <w:b/>
          <w:bCs/>
          <w:sz w:val="28"/>
          <w:szCs w:val="28"/>
          <w:lang w:eastAsia="zh-CN"/>
        </w:rPr>
        <w:t>）</w:t>
      </w:r>
    </w:p>
    <w:p w14:paraId="2ABCDDA4">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进入“湖南省企业登记全程电子化业务系统”（网址：http://222.240.225.73:9080/qykb），快速登录，若无账号立即注册。进入“全国市场登记注册服务网湖南省企业开办‘一网通’办平台”。</w:t>
      </w:r>
      <w:r>
        <w:rPr>
          <w:rFonts w:hint="eastAsia" w:ascii="宋体" w:hAnsi="宋体" w:eastAsia="宋体" w:cs="宋体"/>
          <w:sz w:val="28"/>
          <w:szCs w:val="28"/>
          <w:lang w:val="en-US" w:eastAsia="zh-CN"/>
        </w:rPr>
        <w:t xml:space="preserve">    </w:t>
      </w:r>
    </w:p>
    <w:p w14:paraId="44D2BDA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注意事项：</w:t>
      </w:r>
    </w:p>
    <w:p w14:paraId="033A8F17">
      <w:pPr>
        <w:keepNext w:val="0"/>
        <w:keepLines w:val="0"/>
        <w:pageBreakBefore w:val="0"/>
        <w:widowControl w:val="0"/>
        <w:numPr>
          <w:ilvl w:val="0"/>
          <w:numId w:val="3"/>
        </w:numPr>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企业开办申请事项中，</w:t>
      </w:r>
      <w:r>
        <w:rPr>
          <w:rFonts w:hint="eastAsia" w:ascii="宋体" w:hAnsi="宋体" w:eastAsia="宋体" w:cs="宋体"/>
          <w:sz w:val="28"/>
          <w:szCs w:val="28"/>
          <w:lang w:val="en-US" w:eastAsia="zh-CN"/>
        </w:rPr>
        <w:t>如公司只有</w:t>
      </w:r>
      <w:r>
        <w:rPr>
          <w:rFonts w:hint="eastAsia" w:ascii="宋体" w:hAnsi="宋体" w:eastAsia="宋体" w:cs="宋体"/>
          <w:sz w:val="28"/>
          <w:szCs w:val="28"/>
        </w:rPr>
        <w:t>大学生</w:t>
      </w:r>
      <w:r>
        <w:rPr>
          <w:rFonts w:hint="eastAsia" w:ascii="宋体" w:hAnsi="宋体" w:eastAsia="宋体" w:cs="宋体"/>
          <w:sz w:val="28"/>
          <w:szCs w:val="28"/>
          <w:lang w:val="en-US" w:eastAsia="zh-CN"/>
        </w:rPr>
        <w:t>成员</w:t>
      </w:r>
      <w:r>
        <w:rPr>
          <w:rFonts w:hint="eastAsia" w:ascii="宋体" w:hAnsi="宋体" w:eastAsia="宋体" w:cs="宋体"/>
          <w:sz w:val="28"/>
          <w:szCs w:val="28"/>
        </w:rPr>
        <w:t>一般不参保、缴纳住房公积金，所以此两项可根据实际情况勾选。</w:t>
      </w:r>
    </w:p>
    <w:p w14:paraId="31081B4D">
      <w:pPr>
        <w:keepNext w:val="0"/>
        <w:keepLines w:val="0"/>
        <w:pageBreakBefore w:val="0"/>
        <w:widowControl w:val="0"/>
        <w:numPr>
          <w:ilvl w:val="0"/>
          <w:numId w:val="3"/>
        </w:numPr>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银行预约开户</w:t>
      </w:r>
      <w:r>
        <w:rPr>
          <w:rFonts w:hint="eastAsia" w:ascii="宋体" w:hAnsi="宋体" w:eastAsia="宋体" w:cs="宋体"/>
          <w:sz w:val="28"/>
          <w:szCs w:val="28"/>
          <w:lang w:eastAsia="zh-CN"/>
        </w:rPr>
        <w:t>：</w:t>
      </w:r>
      <w:r>
        <w:rPr>
          <w:rFonts w:hint="eastAsia" w:ascii="宋体" w:hAnsi="宋体" w:eastAsia="宋体" w:cs="宋体"/>
          <w:sz w:val="28"/>
          <w:szCs w:val="28"/>
        </w:rPr>
        <w:t>根据已注册过公司的学生反映，暂不勾选可以大大简化注册流程，可后续再自行选择银行开户</w:t>
      </w:r>
    </w:p>
    <w:p w14:paraId="5FB9A903">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w:t>
      </w:r>
      <w:r>
        <w:rPr>
          <w:rFonts w:hint="eastAsia" w:ascii="宋体" w:hAnsi="宋体" w:eastAsia="宋体" w:cs="宋体"/>
          <w:sz w:val="28"/>
          <w:szCs w:val="28"/>
          <w:lang w:val="en-US" w:eastAsia="zh-CN"/>
        </w:rPr>
        <w:t>3</w:t>
      </w:r>
      <w:r>
        <w:rPr>
          <w:rFonts w:hint="eastAsia" w:ascii="宋体" w:hAnsi="宋体" w:eastAsia="宋体" w:cs="宋体"/>
          <w:sz w:val="28"/>
          <w:szCs w:val="28"/>
        </w:rPr>
        <w:t>）经营范围</w:t>
      </w:r>
      <w:r>
        <w:rPr>
          <w:rFonts w:hint="eastAsia" w:ascii="宋体" w:hAnsi="宋体" w:eastAsia="宋体" w:cs="宋体"/>
          <w:sz w:val="28"/>
          <w:szCs w:val="28"/>
          <w:lang w:eastAsia="zh-CN"/>
        </w:rPr>
        <w:t>：</w:t>
      </w:r>
      <w:r>
        <w:rPr>
          <w:rFonts w:hint="eastAsia" w:ascii="宋体" w:hAnsi="宋体" w:eastAsia="宋体" w:cs="宋体"/>
          <w:sz w:val="28"/>
          <w:szCs w:val="28"/>
        </w:rPr>
        <w:t>尽量避免选择字体颜色为橙黄色和红色的经营范围，开展此类经营需要先取得相关部门的许可文件</w:t>
      </w:r>
      <w:r>
        <w:rPr>
          <w:rFonts w:hint="eastAsia" w:ascii="宋体" w:hAnsi="宋体" w:eastAsia="宋体" w:cs="宋体"/>
          <w:sz w:val="28"/>
          <w:szCs w:val="28"/>
          <w:lang w:eastAsia="zh-CN"/>
        </w:rPr>
        <w:t>。</w:t>
      </w:r>
    </w:p>
    <w:p w14:paraId="42089D6C">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w:t>
      </w:r>
      <w:r>
        <w:rPr>
          <w:rFonts w:hint="eastAsia" w:ascii="宋体" w:hAnsi="宋体" w:eastAsia="宋体" w:cs="宋体"/>
          <w:sz w:val="28"/>
          <w:szCs w:val="28"/>
          <w:lang w:val="en-US" w:eastAsia="zh-CN"/>
        </w:rPr>
        <w:t>4</w:t>
      </w:r>
      <w:r>
        <w:rPr>
          <w:rFonts w:hint="eastAsia" w:ascii="宋体" w:hAnsi="宋体" w:eastAsia="宋体" w:cs="宋体"/>
          <w:sz w:val="28"/>
          <w:szCs w:val="28"/>
        </w:rPr>
        <w:t>）营业场所：“湖南省长沙市岳麓区岳麓山大学科技城岳麓街道溁左路中南大学科技园研发总部4栋”；住所产权选择“无偿租赁”</w:t>
      </w:r>
      <w:r>
        <w:rPr>
          <w:rFonts w:hint="eastAsia" w:ascii="宋体" w:hAnsi="宋体" w:eastAsia="宋体" w:cs="宋体"/>
          <w:sz w:val="28"/>
          <w:szCs w:val="28"/>
          <w:lang w:eastAsia="zh-CN"/>
        </w:rPr>
        <w:t>。</w:t>
      </w:r>
    </w:p>
    <w:p w14:paraId="3A23BFF5">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w:t>
      </w:r>
      <w:r>
        <w:rPr>
          <w:rFonts w:hint="eastAsia" w:ascii="宋体" w:hAnsi="宋体" w:eastAsia="宋体" w:cs="宋体"/>
          <w:sz w:val="28"/>
          <w:szCs w:val="28"/>
          <w:lang w:val="en-US" w:eastAsia="zh-CN"/>
        </w:rPr>
        <w:t>5</w:t>
      </w:r>
      <w:r>
        <w:rPr>
          <w:rFonts w:hint="eastAsia" w:ascii="宋体" w:hAnsi="宋体" w:eastAsia="宋体" w:cs="宋体"/>
          <w:sz w:val="28"/>
          <w:szCs w:val="28"/>
        </w:rPr>
        <w:t>）董事、监事、经理信息填写中，选举方式、是否为职工代表等填写规范要求请仔细阅读《公司法》和系统中的说明</w:t>
      </w:r>
      <w:r>
        <w:rPr>
          <w:rFonts w:hint="eastAsia" w:ascii="宋体" w:hAnsi="宋体" w:eastAsia="宋体" w:cs="宋体"/>
          <w:sz w:val="28"/>
          <w:szCs w:val="28"/>
          <w:lang w:eastAsia="zh-CN"/>
        </w:rPr>
        <w:t>。</w:t>
      </w:r>
    </w:p>
    <w:p w14:paraId="716D4565">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w:t>
      </w:r>
      <w:r>
        <w:rPr>
          <w:rFonts w:hint="eastAsia" w:ascii="宋体" w:hAnsi="宋体" w:eastAsia="宋体" w:cs="宋体"/>
          <w:sz w:val="28"/>
          <w:szCs w:val="28"/>
          <w:lang w:val="en-US" w:eastAsia="zh-CN"/>
        </w:rPr>
        <w:t>5</w:t>
      </w:r>
      <w:r>
        <w:rPr>
          <w:rFonts w:hint="eastAsia" w:ascii="宋体" w:hAnsi="宋体" w:eastAsia="宋体" w:cs="宋体"/>
          <w:sz w:val="28"/>
          <w:szCs w:val="28"/>
        </w:rPr>
        <w:t>）办理结果</w:t>
      </w:r>
      <w:r>
        <w:rPr>
          <w:rFonts w:hint="eastAsia" w:ascii="宋体" w:hAnsi="宋体" w:eastAsia="宋体" w:cs="宋体"/>
          <w:sz w:val="28"/>
          <w:szCs w:val="28"/>
          <w:lang w:eastAsia="zh-CN"/>
        </w:rPr>
        <w:t>：</w:t>
      </w:r>
      <w:r>
        <w:rPr>
          <w:rFonts w:hint="eastAsia" w:ascii="宋体" w:hAnsi="宋体" w:eastAsia="宋体" w:cs="宋体"/>
          <w:sz w:val="28"/>
          <w:szCs w:val="28"/>
        </w:rPr>
        <w:t>5个工作日之内下发营业执照</w:t>
      </w:r>
      <w:r>
        <w:rPr>
          <w:rFonts w:hint="eastAsia" w:ascii="宋体" w:hAnsi="宋体" w:eastAsia="宋体" w:cs="宋体"/>
          <w:sz w:val="28"/>
          <w:szCs w:val="28"/>
          <w:lang w:eastAsia="zh-CN"/>
        </w:rPr>
        <w:t>，</w:t>
      </w:r>
      <w:r>
        <w:rPr>
          <w:rFonts w:hint="eastAsia" w:ascii="宋体" w:hAnsi="宋体" w:eastAsia="宋体" w:cs="宋体"/>
          <w:sz w:val="28"/>
          <w:szCs w:val="28"/>
        </w:rPr>
        <w:t>1周后到</w:t>
      </w:r>
      <w:r>
        <w:rPr>
          <w:rFonts w:hint="eastAsia" w:ascii="宋体" w:hAnsi="宋体" w:eastAsia="宋体" w:cs="宋体"/>
          <w:color w:val="auto"/>
          <w:sz w:val="28"/>
          <w:szCs w:val="28"/>
        </w:rPr>
        <w:t>岳麓区政务服务中心</w:t>
      </w:r>
      <w:r>
        <w:rPr>
          <w:rFonts w:hint="eastAsia" w:ascii="宋体" w:hAnsi="宋体" w:eastAsia="宋体" w:cs="宋体"/>
          <w:sz w:val="28"/>
          <w:szCs w:val="28"/>
        </w:rPr>
        <w:t>领取公章</w:t>
      </w:r>
      <w:r>
        <w:rPr>
          <w:rFonts w:hint="eastAsia" w:ascii="宋体" w:hAnsi="宋体" w:eastAsia="宋体" w:cs="宋体"/>
          <w:sz w:val="28"/>
          <w:szCs w:val="28"/>
          <w:lang w:eastAsia="zh-CN"/>
        </w:rPr>
        <w:t>。</w:t>
      </w:r>
    </w:p>
    <w:p w14:paraId="483FE831">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highlight w:val="lightGray"/>
        </w:rPr>
        <w:t>（</w:t>
      </w:r>
      <w:r>
        <w:rPr>
          <w:rFonts w:hint="eastAsia" w:ascii="宋体" w:hAnsi="宋体" w:eastAsia="宋体" w:cs="宋体"/>
          <w:sz w:val="28"/>
          <w:szCs w:val="28"/>
          <w:highlight w:val="lightGray"/>
          <w:lang w:val="en-US" w:eastAsia="zh-CN"/>
        </w:rPr>
        <w:t>6</w:t>
      </w:r>
      <w:r>
        <w:rPr>
          <w:rFonts w:hint="eastAsia" w:ascii="宋体" w:hAnsi="宋体" w:eastAsia="宋体" w:cs="宋体"/>
          <w:sz w:val="28"/>
          <w:szCs w:val="28"/>
          <w:highlight w:val="lightGray"/>
        </w:rPr>
        <w:t>）</w:t>
      </w:r>
      <w:r>
        <w:rPr>
          <w:rFonts w:hint="eastAsia" w:ascii="宋体" w:hAnsi="宋体" w:eastAsia="宋体" w:cs="宋体"/>
          <w:sz w:val="28"/>
          <w:szCs w:val="28"/>
        </w:rPr>
        <w:t>银行开户</w:t>
      </w:r>
      <w:r>
        <w:rPr>
          <w:rFonts w:hint="eastAsia" w:ascii="宋体" w:hAnsi="宋体" w:eastAsia="宋体" w:cs="宋体"/>
          <w:sz w:val="28"/>
          <w:szCs w:val="28"/>
          <w:lang w:eastAsia="zh-CN"/>
        </w:rPr>
        <w:t>：</w:t>
      </w:r>
      <w:r>
        <w:rPr>
          <w:rFonts w:hint="eastAsia" w:ascii="宋体" w:hAnsi="宋体" w:eastAsia="宋体" w:cs="宋体"/>
          <w:sz w:val="28"/>
          <w:szCs w:val="28"/>
        </w:rPr>
        <w:t>到任意银行开户→和工作人员说明注册公司使用→联系科技园提供实地办公场地证明</w:t>
      </w:r>
      <w:r>
        <w:rPr>
          <w:rFonts w:hint="eastAsia" w:ascii="宋体" w:hAnsi="宋体" w:eastAsia="宋体" w:cs="宋体"/>
          <w:sz w:val="28"/>
          <w:szCs w:val="28"/>
          <w:lang w:eastAsia="zh-CN"/>
        </w:rPr>
        <w:t>。</w:t>
      </w:r>
    </w:p>
    <w:p w14:paraId="57C5FA2C">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highlight w:val="lightGray"/>
        </w:rPr>
        <w:t>（</w:t>
      </w:r>
      <w:r>
        <w:rPr>
          <w:rFonts w:hint="eastAsia" w:ascii="宋体" w:hAnsi="宋体" w:eastAsia="宋体" w:cs="宋体"/>
          <w:sz w:val="28"/>
          <w:szCs w:val="28"/>
          <w:highlight w:val="lightGray"/>
          <w:lang w:val="en-US" w:eastAsia="zh-CN"/>
        </w:rPr>
        <w:t>7</w:t>
      </w:r>
      <w:r>
        <w:rPr>
          <w:rFonts w:hint="eastAsia" w:ascii="宋体" w:hAnsi="宋体" w:eastAsia="宋体" w:cs="宋体"/>
          <w:sz w:val="28"/>
          <w:szCs w:val="28"/>
          <w:highlight w:val="lightGray"/>
        </w:rPr>
        <w:t>）</w:t>
      </w:r>
      <w:r>
        <w:rPr>
          <w:rFonts w:hint="eastAsia" w:ascii="宋体" w:hAnsi="宋体" w:eastAsia="宋体" w:cs="宋体"/>
          <w:sz w:val="28"/>
          <w:szCs w:val="28"/>
        </w:rPr>
        <w:t>社保登记（非必选项）</w:t>
      </w:r>
    </w:p>
    <w:p w14:paraId="075E30DE">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color w:val="auto"/>
          <w:sz w:val="28"/>
          <w:szCs w:val="28"/>
        </w:rPr>
        <w:t>若与员工签订了全职劳动合同则需要登记，反之不需</w:t>
      </w:r>
      <w:r>
        <w:rPr>
          <w:rFonts w:hint="eastAsia" w:ascii="宋体" w:hAnsi="宋体" w:eastAsia="宋体" w:cs="宋体"/>
          <w:color w:val="auto"/>
          <w:sz w:val="28"/>
          <w:szCs w:val="28"/>
          <w:lang w:val="en-US" w:eastAsia="zh-CN"/>
        </w:rPr>
        <w:t>要。</w:t>
      </w:r>
      <w:r>
        <w:rPr>
          <w:rFonts w:hint="eastAsia" w:ascii="宋体" w:hAnsi="宋体" w:eastAsia="宋体" w:cs="宋体"/>
          <w:sz w:val="28"/>
          <w:szCs w:val="28"/>
        </w:rPr>
        <w:t>登录“长沙12333公共服务平台”</w:t>
      </w:r>
      <w:r>
        <w:rPr>
          <w:rFonts w:hint="eastAsia" w:ascii="宋体" w:hAnsi="宋体" w:eastAsia="宋体" w:cs="宋体"/>
          <w:sz w:val="28"/>
          <w:szCs w:val="28"/>
          <w:lang w:eastAsia="zh-CN"/>
        </w:rPr>
        <w:t>，</w:t>
      </w:r>
      <w:r>
        <w:rPr>
          <w:rFonts w:hint="eastAsia" w:ascii="宋体" w:hAnsi="宋体" w:eastAsia="宋体" w:cs="宋体"/>
          <w:sz w:val="28"/>
          <w:szCs w:val="28"/>
        </w:rPr>
        <w:t>点击“单位参保（补充）登记入口”</w:t>
      </w:r>
      <w:r>
        <w:rPr>
          <w:rFonts w:hint="eastAsia" w:ascii="宋体" w:hAnsi="宋体" w:eastAsia="宋体" w:cs="宋体"/>
          <w:sz w:val="28"/>
          <w:szCs w:val="28"/>
          <w:lang w:eastAsia="zh-CN"/>
        </w:rPr>
        <w:t>。</w:t>
      </w:r>
    </w:p>
    <w:p w14:paraId="29CC2AA3">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color w:val="auto"/>
          <w:sz w:val="28"/>
          <w:szCs w:val="28"/>
          <w:lang w:val="en-US" w:eastAsia="zh-CN"/>
        </w:rPr>
      </w:pPr>
    </w:p>
    <w:p w14:paraId="5D4DEC87">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网上办理流程具体见下图：</w:t>
      </w:r>
    </w:p>
    <w:p w14:paraId="3EF3D029">
      <w:pPr>
        <w:ind w:firstLine="560" w:firstLineChars="200"/>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71770" cy="7458075"/>
            <wp:effectExtent l="0" t="0" r="5080" b="9525"/>
            <wp:docPr id="40" name="图片 40" descr="0.附件：湖南省企业开办-一网通办设立流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附件：湖南省企业开办-一网通办设立流程_00"/>
                    <pic:cNvPicPr>
                      <a:picLocks noChangeAspect="1"/>
                    </pic:cNvPicPr>
                  </pic:nvPicPr>
                  <pic:blipFill>
                    <a:blip r:embed="rId10"/>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9" name="图片 39" descr="0.附件：湖南省企业开办-一网通办设立流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附件：湖南省企业开办-一网通办设立流程_01"/>
                    <pic:cNvPicPr>
                      <a:picLocks noChangeAspect="1"/>
                    </pic:cNvPicPr>
                  </pic:nvPicPr>
                  <pic:blipFill>
                    <a:blip r:embed="rId11"/>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8" name="图片 38" descr="0.附件：湖南省企业开办-一网通办设立流程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附件：湖南省企业开办-一网通办设立流程_02"/>
                    <pic:cNvPicPr>
                      <a:picLocks noChangeAspect="1"/>
                    </pic:cNvPicPr>
                  </pic:nvPicPr>
                  <pic:blipFill>
                    <a:blip r:embed="rId12"/>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7" name="图片 37" descr="0.附件：湖南省企业开办-一网通办设立流程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附件：湖南省企业开办-一网通办设立流程_03"/>
                    <pic:cNvPicPr>
                      <a:picLocks noChangeAspect="1"/>
                    </pic:cNvPicPr>
                  </pic:nvPicPr>
                  <pic:blipFill>
                    <a:blip r:embed="rId13"/>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6" name="图片 36" descr="0.附件：湖南省企业开办-一网通办设立流程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附件：湖南省企业开办-一网通办设立流程_04"/>
                    <pic:cNvPicPr>
                      <a:picLocks noChangeAspect="1"/>
                    </pic:cNvPicPr>
                  </pic:nvPicPr>
                  <pic:blipFill>
                    <a:blip r:embed="rId14"/>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5" name="图片 35" descr="0.附件：湖南省企业开办-一网通办设立流程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附件：湖南省企业开办-一网通办设立流程_05"/>
                    <pic:cNvPicPr>
                      <a:picLocks noChangeAspect="1"/>
                    </pic:cNvPicPr>
                  </pic:nvPicPr>
                  <pic:blipFill>
                    <a:blip r:embed="rId15"/>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4" name="图片 34" descr="0.附件：湖南省企业开办-一网通办设立流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附件：湖南省企业开办-一网通办设立流程_06"/>
                    <pic:cNvPicPr>
                      <a:picLocks noChangeAspect="1"/>
                    </pic:cNvPicPr>
                  </pic:nvPicPr>
                  <pic:blipFill>
                    <a:blip r:embed="rId16"/>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3" name="图片 33" descr="0.附件：湖南省企业开办-一网通办设立流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0.附件：湖南省企业开办-一网通办设立流程_07"/>
                    <pic:cNvPicPr>
                      <a:picLocks noChangeAspect="1"/>
                    </pic:cNvPicPr>
                  </pic:nvPicPr>
                  <pic:blipFill>
                    <a:blip r:embed="rId17"/>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2" name="图片 32" descr="0.附件：湖南省企业开办-一网通办设立流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附件：湖南省企业开办-一网通办设立流程_08"/>
                    <pic:cNvPicPr>
                      <a:picLocks noChangeAspect="1"/>
                    </pic:cNvPicPr>
                  </pic:nvPicPr>
                  <pic:blipFill>
                    <a:blip r:embed="rId18"/>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1" name="图片 31" descr="0.附件：湖南省企业开办-一网通办设立流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附件：湖南省企业开办-一网通办设立流程_09"/>
                    <pic:cNvPicPr>
                      <a:picLocks noChangeAspect="1"/>
                    </pic:cNvPicPr>
                  </pic:nvPicPr>
                  <pic:blipFill>
                    <a:blip r:embed="rId19"/>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30" name="图片 30" descr="0.附件：湖南省企业开办-一网通办设立流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附件：湖南省企业开办-一网通办设立流程_10"/>
                    <pic:cNvPicPr>
                      <a:picLocks noChangeAspect="1"/>
                    </pic:cNvPicPr>
                  </pic:nvPicPr>
                  <pic:blipFill>
                    <a:blip r:embed="rId20"/>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29" name="图片 29" descr="0.附件：湖南省企业开办-一网通办设立流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附件：湖南省企业开办-一网通办设立流程_11"/>
                    <pic:cNvPicPr>
                      <a:picLocks noChangeAspect="1"/>
                    </pic:cNvPicPr>
                  </pic:nvPicPr>
                  <pic:blipFill>
                    <a:blip r:embed="rId21"/>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28" name="图片 28" descr="0.附件：湖南省企业开办-一网通办设立流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附件：湖南省企业开办-一网通办设立流程_12"/>
                    <pic:cNvPicPr>
                      <a:picLocks noChangeAspect="1"/>
                    </pic:cNvPicPr>
                  </pic:nvPicPr>
                  <pic:blipFill>
                    <a:blip r:embed="rId22"/>
                    <a:stretch>
                      <a:fillRect/>
                    </a:stretch>
                  </pic:blipFill>
                  <pic:spPr>
                    <a:xfrm>
                      <a:off x="0" y="0"/>
                      <a:ext cx="5271770" cy="7458075"/>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5271770" cy="7458075"/>
            <wp:effectExtent l="0" t="0" r="5080" b="9525"/>
            <wp:docPr id="27" name="图片 27" descr="0.附件：湖南省企业开办-一网通办设立流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附件：湖南省企业开办-一网通办设立流程_13"/>
                    <pic:cNvPicPr>
                      <a:picLocks noChangeAspect="1"/>
                    </pic:cNvPicPr>
                  </pic:nvPicPr>
                  <pic:blipFill>
                    <a:blip r:embed="rId23"/>
                    <a:stretch>
                      <a:fillRect/>
                    </a:stretch>
                  </pic:blipFill>
                  <pic:spPr>
                    <a:xfrm>
                      <a:off x="0" y="0"/>
                      <a:ext cx="5271770" cy="7458075"/>
                    </a:xfrm>
                    <a:prstGeom prst="rect">
                      <a:avLst/>
                    </a:prstGeom>
                  </pic:spPr>
                </pic:pic>
              </a:graphicData>
            </a:graphic>
          </wp:inline>
        </w:drawing>
      </w:r>
    </w:p>
    <w:p w14:paraId="05426FA2">
      <w:pPr>
        <w:ind w:firstLine="560" w:firstLineChars="200"/>
        <w:rPr>
          <w:rFonts w:hint="eastAsia" w:ascii="宋体" w:hAnsi="宋体" w:eastAsia="宋体" w:cs="宋体"/>
          <w:sz w:val="28"/>
          <w:szCs w:val="28"/>
        </w:rPr>
      </w:pPr>
    </w:p>
    <w:p w14:paraId="5ECD8F28">
      <w:pPr>
        <w:rPr>
          <w:rFonts w:ascii="微软雅黑" w:hAnsi="微软雅黑" w:eastAsia="微软雅黑" w:cs="微软雅黑"/>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FBC0C5"/>
    <w:multiLevelType w:val="singleLevel"/>
    <w:tmpl w:val="38FBC0C5"/>
    <w:lvl w:ilvl="0" w:tentative="0">
      <w:start w:val="1"/>
      <w:numFmt w:val="decimal"/>
      <w:suff w:val="nothing"/>
      <w:lvlText w:val="（%1）"/>
      <w:lvlJc w:val="left"/>
    </w:lvl>
  </w:abstractNum>
  <w:abstractNum w:abstractNumId="1">
    <w:nsid w:val="61630F54"/>
    <w:multiLevelType w:val="singleLevel"/>
    <w:tmpl w:val="61630F54"/>
    <w:lvl w:ilvl="0" w:tentative="0">
      <w:start w:val="1"/>
      <w:numFmt w:val="decimal"/>
      <w:suff w:val="nothing"/>
      <w:lvlText w:val="%1．"/>
      <w:lvlJc w:val="left"/>
      <w:pPr>
        <w:ind w:left="0" w:firstLine="400"/>
      </w:pPr>
      <w:rPr>
        <w:rFonts w:hint="default"/>
      </w:rPr>
    </w:lvl>
  </w:abstractNum>
  <w:abstractNum w:abstractNumId="2">
    <w:nsid w:val="62C68AFF"/>
    <w:multiLevelType w:val="singleLevel"/>
    <w:tmpl w:val="62C68AFF"/>
    <w:lvl w:ilvl="0" w:tentative="0">
      <w:start w:val="2"/>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lMGI0ZGM3NjQ1MDg3OWIzNDdjMTA2NjhmY2Y3ZTAifQ=="/>
  </w:docVars>
  <w:rsids>
    <w:rsidRoot w:val="00852936"/>
    <w:rsid w:val="004546FC"/>
    <w:rsid w:val="007C54C1"/>
    <w:rsid w:val="00852936"/>
    <w:rsid w:val="00BE40AA"/>
    <w:rsid w:val="00ED6E44"/>
    <w:rsid w:val="0B391A81"/>
    <w:rsid w:val="1938608A"/>
    <w:rsid w:val="252A0A19"/>
    <w:rsid w:val="293E4626"/>
    <w:rsid w:val="29E919AC"/>
    <w:rsid w:val="2F887EA2"/>
    <w:rsid w:val="37075911"/>
    <w:rsid w:val="4AEC11B0"/>
    <w:rsid w:val="4BCF5EE6"/>
    <w:rsid w:val="572124A6"/>
    <w:rsid w:val="5EB17EBE"/>
    <w:rsid w:val="6CF26A62"/>
    <w:rsid w:val="6D7C5BE8"/>
    <w:rsid w:val="73323BB2"/>
    <w:rsid w:val="798F3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character" w:styleId="4">
    <w:name w:val="FollowedHyperlink"/>
    <w:basedOn w:val="3"/>
    <w:uiPriority w:val="0"/>
    <w:rPr>
      <w:color w:val="800080"/>
      <w:u w:val="single"/>
    </w:rPr>
  </w:style>
  <w:style w:type="character" w:styleId="5">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Pages>
  <Words>1117</Words>
  <Characters>1276</Characters>
  <Lines>4</Lines>
  <Paragraphs>1</Paragraphs>
  <TotalTime>22</TotalTime>
  <ScaleCrop>false</ScaleCrop>
  <LinksUpToDate>false</LinksUpToDate>
  <CharactersWithSpaces>1281</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2021-07-12T12:57:00Z</dcterms:created>
  <dc:creator>86135</dc:creator>
  <cp:lastModifiedBy>QUYING</cp:lastModifiedBy>
  <dcterms:modified xsi:type="dcterms:W3CDTF">2025-09-08T08:18:33Z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A919CF8B2A264347A5B28878DDD267E5</vt:lpwstr>
  </property>
  <property fmtid="{D5CDD505-2E9C-101B-9397-08002B2CF9AE}" pid="4" name="KSOTemplateDocerSaveRecord">
    <vt:lpwstr>eyJoZGlkIjoiOTdlMGI0ZGM3NjQ1MDg3OWIzNDdjMTA2NjhmY2Y3ZTAiLCJ1c2VySWQiOiIzNzI1Mzg0ODYifQ==</vt:lpwstr>
  </property>
</Properties>
</file>